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548E4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8E4" w:rsidRDefault="00911023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B548E4" w:rsidRDefault="00911023">
            <w:pPr>
              <w:pStyle w:val="Epigraph"/>
              <w:widowControl w:val="0"/>
            </w:pPr>
            <w:r>
              <w:rPr>
                <w:lang w:val="en-US"/>
              </w:rPr>
              <w:t>директор</w:t>
            </w:r>
          </w:p>
          <w:p w:rsidR="00B548E4" w:rsidRDefault="00911023">
            <w:pPr>
              <w:pStyle w:val="Epigraph"/>
              <w:widowControl w:val="0"/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B548E4" w:rsidRDefault="00911023">
            <w:pPr>
              <w:pStyle w:val="Epigraph"/>
              <w:widowControl w:val="0"/>
            </w:pPr>
            <w:r>
              <w:t>_________________ / М.О. Меллис /</w:t>
            </w:r>
          </w:p>
          <w:p w:rsidR="00B548E4" w:rsidRDefault="00911023">
            <w:pPr>
              <w:pStyle w:val="Epigraph"/>
              <w:widowControl w:val="0"/>
            </w:pPr>
            <w:r>
              <w:t>4 ноября 2022 г.</w:t>
            </w:r>
          </w:p>
        </w:tc>
      </w:tr>
    </w:tbl>
    <w:p w:rsidR="00B548E4" w:rsidRDefault="00B548E4">
      <w:pPr>
        <w:pStyle w:val="Epigraph"/>
        <w:rPr>
          <w:lang w:val="en-US"/>
        </w:rPr>
      </w:pPr>
    </w:p>
    <w:p w:rsidR="00B548E4" w:rsidRDefault="00B548E4">
      <w:pPr>
        <w:pStyle w:val="Standar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548E4" w:rsidRDefault="00911023">
      <w:pPr>
        <w:pStyle w:val="Zagolovok1"/>
      </w:pPr>
      <w:r>
        <w:t>ПОЛОЖЕНИЕ</w:t>
      </w:r>
    </w:p>
    <w:p w:rsidR="00B548E4" w:rsidRDefault="00911023">
      <w:pPr>
        <w:pStyle w:val="Zagolovok1"/>
      </w:pPr>
      <w:r>
        <w:t>о формах, периодичности и порядке</w:t>
      </w:r>
    </w:p>
    <w:p w:rsidR="00B548E4" w:rsidRDefault="00911023">
      <w:pPr>
        <w:pStyle w:val="Zagolovok1"/>
      </w:pPr>
      <w:r>
        <w:t>текущего контроля успеваемости и промежуточной аттестации обучающихся в ООО "Институт современно</w:t>
      </w:r>
      <w:r>
        <w:t>й и этнической психологии"</w:t>
      </w:r>
    </w:p>
    <w:p w:rsidR="00B548E4" w:rsidRDefault="00B548E4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E4" w:rsidRDefault="009110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формах, периодичности и порядке текущего контроля успеваемости и промежуточной аттестации обучающихся (далее – Положение) определяет формы, периодичность и порядок текущего </w:t>
      </w:r>
      <w:r>
        <w:rPr>
          <w:rFonts w:ascii="Times New Roman" w:hAnsi="Times New Roman" w:cs="Times New Roman"/>
          <w:sz w:val="28"/>
          <w:szCs w:val="28"/>
        </w:rPr>
        <w:t>контроля успеваемости и промежуточной аттестации обучающихся по образовательным программам, реализуемым ООО "Институт современной и этнической психологии" (далее – образовательная организация).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предназначено для слушателей, обучающихся в обр</w:t>
      </w:r>
      <w:r>
        <w:rPr>
          <w:rFonts w:ascii="Times New Roman" w:hAnsi="Times New Roman" w:cs="Times New Roman"/>
          <w:sz w:val="28"/>
          <w:szCs w:val="28"/>
        </w:rPr>
        <w:t>азовательной организации, для работников образовательной организации и преподавателей.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Положение является документом системы менеджмента качества и направлено на активное использование существующей законодательной и нормативной базы с целью дальнейшег</w:t>
      </w:r>
      <w:r>
        <w:rPr>
          <w:rFonts w:ascii="Times New Roman" w:hAnsi="Times New Roman" w:cs="Times New Roman"/>
          <w:sz w:val="28"/>
          <w:szCs w:val="28"/>
        </w:rPr>
        <w:t>о развития и повышения качества образования в образовательной организации.</w:t>
      </w:r>
    </w:p>
    <w:p w:rsidR="00B548E4" w:rsidRDefault="00B548E4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E4" w:rsidRDefault="0091102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 акты:</w:t>
      </w:r>
    </w:p>
    <w:p w:rsidR="00B548E4" w:rsidRDefault="00911023">
      <w:pPr>
        <w:pStyle w:val="Spisok"/>
        <w:numPr>
          <w:ilvl w:val="0"/>
          <w:numId w:val="4"/>
        </w:numPr>
      </w:pPr>
      <w:r>
        <w:t>Федеральный закон от 29 декабря 2012 г. № 273 - ФЗ «Об образовании в Российской Федерации»;</w:t>
      </w:r>
    </w:p>
    <w:p w:rsidR="00B548E4" w:rsidRDefault="00911023">
      <w:pPr>
        <w:pStyle w:val="Spisok"/>
        <w:numPr>
          <w:ilvl w:val="0"/>
          <w:numId w:val="2"/>
        </w:numPr>
      </w:pPr>
      <w:r>
        <w:t>Поста</w:t>
      </w:r>
      <w:r>
        <w:t>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</w:t>
      </w:r>
      <w:r>
        <w:t>ции»;</w:t>
      </w:r>
    </w:p>
    <w:p w:rsidR="00B548E4" w:rsidRDefault="00911023">
      <w:pPr>
        <w:pStyle w:val="Spisok"/>
        <w:numPr>
          <w:ilvl w:val="0"/>
          <w:numId w:val="2"/>
        </w:numPr>
      </w:pPr>
      <w:r>
        <w:t>Правила оказания платных образовательных услуг, утвержденные Постановлением Правительства РФ от 15 сентября 2020 г. № 1441;</w:t>
      </w:r>
    </w:p>
    <w:p w:rsidR="00B548E4" w:rsidRDefault="00911023">
      <w:pPr>
        <w:pStyle w:val="Spisok"/>
        <w:numPr>
          <w:ilvl w:val="0"/>
          <w:numId w:val="2"/>
        </w:numPr>
      </w:pPr>
      <w:r>
        <w:t>Приказ Минобрнауки России от 1 июля 2013 г. № 499 «Об утверждении Порядка организации и осуществления образовательной деятельн</w:t>
      </w:r>
      <w:r>
        <w:t>ости по дополнительным профессиональным программам» (ред. от 15 ноября 2013 г.);</w:t>
      </w:r>
    </w:p>
    <w:p w:rsidR="00B548E4" w:rsidRDefault="00911023">
      <w:pPr>
        <w:pStyle w:val="Spisok"/>
        <w:numPr>
          <w:ilvl w:val="0"/>
          <w:numId w:val="2"/>
        </w:numPr>
      </w:pPr>
      <w:r>
        <w:t>Устав образовательной организации;</w:t>
      </w:r>
    </w:p>
    <w:p w:rsidR="00B548E4" w:rsidRDefault="00911023">
      <w:pPr>
        <w:pStyle w:val="Spisok"/>
        <w:numPr>
          <w:ilvl w:val="0"/>
          <w:numId w:val="2"/>
        </w:numPr>
      </w:pPr>
      <w:r>
        <w:t>Локальные нормативные акты образовательной организации.</w:t>
      </w:r>
    </w:p>
    <w:p w:rsidR="00B548E4" w:rsidRDefault="00B548E4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E4" w:rsidRDefault="0091102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ОБЩИЕ ПОЛОЖЕНИЯ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 Система текущего контроля успеваемости и промежуточной атте</w:t>
      </w:r>
      <w:r>
        <w:rPr>
          <w:rFonts w:ascii="Times New Roman" w:hAnsi="Times New Roman" w:cs="Times New Roman"/>
          <w:sz w:val="28"/>
          <w:szCs w:val="28"/>
        </w:rPr>
        <w:t>стации обучающихся предусматривает решение задачи соответствия результатов освоения образовательных программ заявленным целям и планируемым результатам обучения.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 Система текущего и промежуточного контроля успеваемости предусматривает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B548E4" w:rsidRDefault="00911023">
      <w:pPr>
        <w:pStyle w:val="Spisok"/>
        <w:numPr>
          <w:ilvl w:val="0"/>
          <w:numId w:val="2"/>
        </w:numPr>
      </w:pPr>
      <w:r>
        <w:t>оценка качества освоения обучающимися компетенций, подлежащих совершенствованию в результате освоения образовательных программ;</w:t>
      </w:r>
    </w:p>
    <w:p w:rsidR="00B548E4" w:rsidRDefault="00911023">
      <w:pPr>
        <w:pStyle w:val="Spisok"/>
        <w:numPr>
          <w:ilvl w:val="0"/>
          <w:numId w:val="2"/>
        </w:numPr>
      </w:pPr>
      <w:r>
        <w:t>оценка перечня новых компетенций, формирующихся в результате освоения образовательных программ;</w:t>
      </w:r>
    </w:p>
    <w:p w:rsidR="00B548E4" w:rsidRDefault="00911023">
      <w:pPr>
        <w:pStyle w:val="Spisok"/>
        <w:numPr>
          <w:ilvl w:val="0"/>
          <w:numId w:val="2"/>
        </w:numPr>
      </w:pPr>
      <w:r>
        <w:t>аттестация обучающихся н</w:t>
      </w:r>
      <w:r>
        <w:t>а соответствие их персональных достижений поэтапным требованиям соответствующей образовательной программы;</w:t>
      </w:r>
    </w:p>
    <w:p w:rsidR="00B548E4" w:rsidRDefault="00911023">
      <w:pPr>
        <w:pStyle w:val="Spisok"/>
        <w:numPr>
          <w:ilvl w:val="0"/>
          <w:numId w:val="2"/>
        </w:numPr>
      </w:pPr>
      <w:r>
        <w:t>организация самостоятельной работы обучающихся с учетом их индивидуальных способностей;</w:t>
      </w:r>
    </w:p>
    <w:p w:rsidR="00B548E4" w:rsidRDefault="00911023">
      <w:pPr>
        <w:pStyle w:val="Spisok"/>
        <w:numPr>
          <w:ilvl w:val="0"/>
          <w:numId w:val="2"/>
        </w:numPr>
      </w:pPr>
      <w:r>
        <w:t xml:space="preserve">поддержание постоянной обратной связи и принятие оптимальных </w:t>
      </w:r>
      <w:r>
        <w:t>решений в управлении качеством обучения;</w:t>
      </w:r>
    </w:p>
    <w:p w:rsidR="00B548E4" w:rsidRDefault="00911023">
      <w:pPr>
        <w:pStyle w:val="Spisok"/>
        <w:numPr>
          <w:ilvl w:val="0"/>
          <w:numId w:val="2"/>
        </w:numPr>
      </w:pPr>
      <w:r>
        <w:t>содействие эффективности внутренней системы оценки качества образования.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Текущий контроль успеваемости обучающихся - это система оценки качества усвоения содержания компонентов отдельных занятий или их частей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- это система оценки качества усвоения слушателями содержания раздела, курса, дисциплины, программы образовательных программ.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Оценка индивидуальных образовательных достижений по результатам </w:t>
      </w:r>
      <w:r>
        <w:rPr>
          <w:rFonts w:ascii="Times New Roman" w:hAnsi="Times New Roman" w:cs="Times New Roman"/>
          <w:sz w:val="28"/>
          <w:szCs w:val="28"/>
        </w:rPr>
        <w:t>текущего контроля и промежуточной аттестации производится в соответствии с универсальной шкалой.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3.5. Критерии оценки результатов тестирования:</w:t>
      </w:r>
    </w:p>
    <w:p w:rsidR="00B548E4" w:rsidRDefault="00B548E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416"/>
      </w:tblGrid>
      <w:tr w:rsidR="00B548E4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оценок, набранных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слушателем в электронной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обучающей системе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оценка ндивидуальных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ательных достижений</w:t>
            </w:r>
          </w:p>
          <w:p w:rsidR="00B548E4" w:rsidRDefault="00B548E4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E4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ответы правильные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неправильный ответ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неправильных ответа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2-х неправильных ответов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«отлично» / «зачтено»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«хорошо»/ «зачтено»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«удовлетворительно»/«зачтено»</w:t>
            </w:r>
          </w:p>
          <w:p w:rsidR="00B548E4" w:rsidRDefault="0091102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«неудовлетворительно»/ «не зачтено»</w:t>
            </w:r>
          </w:p>
        </w:tc>
      </w:tr>
    </w:tbl>
    <w:p w:rsidR="00B548E4" w:rsidRDefault="00B548E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8E4" w:rsidRDefault="0091102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 ТЕКУЩИЙ КОНТРОЛЬ УСПЕВАЕМОСТИ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знаний представляет собой контроль освоения слушателями программного материала учебных дисциплин, междисциплинарных курсов и может иметь следующие виды: оперативный и рубежный контроль.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Оперативны</w:t>
      </w:r>
      <w:r>
        <w:rPr>
          <w:rFonts w:ascii="Times New Roman" w:hAnsi="Times New Roman" w:cs="Times New Roman"/>
          <w:sz w:val="28"/>
          <w:szCs w:val="28"/>
        </w:rPr>
        <w:t>й контроль проводится с целью объективной оценки качества освоения программ учебных дисциплин (курсов, модулей), а также стимулирования учебной работы слушателей, мониторинга результатов образовательной деятельности, подготовки к промежуточной аттестации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максимальной эффективности образовательного процесса.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Оперативный контроль проводится преподавателем на любом из видов учебных занятий. Формы оперативного контроля (контрольная работа, компьютерное тестирование, выполнение и защита </w:t>
      </w:r>
      <w:r>
        <w:rPr>
          <w:rFonts w:ascii="Times New Roman" w:hAnsi="Times New Roman" w:cs="Times New Roman"/>
          <w:sz w:val="28"/>
          <w:szCs w:val="28"/>
        </w:rPr>
        <w:t>практических работ, подготовка презентаций и т.д.) выбираются преподавателем исходя из методической целесообразности, специфики учебной дисциплины.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4.3. Рубежный контроль проводится по завершению изучения учебной дисциплины и проводится с целью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освоения программного материала (компетенций, знаний, умений) в форме зачетов и компьютерного тестирования.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Текущий контроль проводится в пределах учебного времени, отведенного на освоение соответствующих учебных дисциплин как традицион</w:t>
      </w:r>
      <w:r>
        <w:rPr>
          <w:rFonts w:ascii="Times New Roman" w:hAnsi="Times New Roman" w:cs="Times New Roman"/>
          <w:sz w:val="28"/>
          <w:szCs w:val="28"/>
        </w:rPr>
        <w:t>ными, так и инновационными методами, включая компьютерные технологии.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В рабочих программах дисциплин указывается количество и тематика письменных работ.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Периодичность, содержание и методы текущего контроля преподаватели вправе определять самостоя</w:t>
      </w:r>
      <w:r>
        <w:rPr>
          <w:rFonts w:ascii="Times New Roman" w:hAnsi="Times New Roman" w:cs="Times New Roman"/>
          <w:sz w:val="28"/>
          <w:szCs w:val="28"/>
        </w:rPr>
        <w:t>тельно, руководствуясь такими критериями, как целесообразность, оперативность получения результатов, охват контрольными операциями всех или большей части обучающихся, эффективное использование учебного времени, объективность и надежность.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 В зависимост</w:t>
      </w:r>
      <w:r>
        <w:rPr>
          <w:rFonts w:ascii="Times New Roman" w:hAnsi="Times New Roman" w:cs="Times New Roman"/>
          <w:sz w:val="28"/>
          <w:szCs w:val="28"/>
        </w:rPr>
        <w:t>и от образовательной программы текущий контроль успеваемости может как использоваться, так и не использоваться в образовательном процессе.</w:t>
      </w:r>
    </w:p>
    <w:p w:rsidR="00B548E4" w:rsidRDefault="0091102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ПРОМЕЖУТОЧНАЯ АТТЕСТАЦИЯ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Формы промежуточной аттестации, её периодичность определяется учебными планами, кале</w:t>
      </w:r>
      <w:r>
        <w:rPr>
          <w:rFonts w:ascii="Times New Roman" w:hAnsi="Times New Roman" w:cs="Times New Roman"/>
          <w:sz w:val="28"/>
          <w:szCs w:val="28"/>
        </w:rPr>
        <w:t>ндарными учебными графиками, входящими в структуру образовательной программы, утвержденной директором образовательной организации.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Основными формами промежуточной аттестации являются: зачет, экзамен, защита реферата.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 Форма аттестации по каждой ди</w:t>
      </w:r>
      <w:r>
        <w:rPr>
          <w:rFonts w:ascii="Times New Roman" w:hAnsi="Times New Roman" w:cs="Times New Roman"/>
          <w:sz w:val="28"/>
          <w:szCs w:val="28"/>
        </w:rPr>
        <w:t>сциплине определяется учебным планом. Сроки проведения аттестации определяются в соответствии с учебным графиком и договором об оказании образовательных услуг.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 Зачеты/экзамены могут осуществляться в форме итогового компьютерного тестирования по дисцип</w:t>
      </w:r>
      <w:r>
        <w:rPr>
          <w:rFonts w:ascii="Times New Roman" w:hAnsi="Times New Roman" w:cs="Times New Roman"/>
          <w:sz w:val="28"/>
          <w:szCs w:val="28"/>
        </w:rPr>
        <w:t>лине (курсу, предмету, модулю).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Положительная оценка по дисциплине выставляется при условии выполнения обучающимся всех установленных рабочей программой дисциплины видов работ.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Промежуточная аттестация по стажировке оценивает результаты выполнени</w:t>
      </w:r>
      <w:r>
        <w:rPr>
          <w:rFonts w:ascii="Times New Roman" w:hAnsi="Times New Roman" w:cs="Times New Roman"/>
          <w:sz w:val="28"/>
          <w:szCs w:val="28"/>
        </w:rPr>
        <w:t>я слушателями соответствующих программ.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5.7. Допуск к сдаче зачета/экзамена/защите реферата осуществляется на основании успешного выполнения слушателем всех заданий по дисциплине (курсу, предмету, модулю) в электронной обучающей системе.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5.8. В критерии оц</w:t>
      </w:r>
      <w:r>
        <w:rPr>
          <w:rFonts w:ascii="Times New Roman" w:hAnsi="Times New Roman" w:cs="Times New Roman"/>
          <w:sz w:val="28"/>
          <w:szCs w:val="28"/>
        </w:rPr>
        <w:t>енки уровня подготовки обучающегося входят:</w:t>
      </w:r>
    </w:p>
    <w:p w:rsidR="00B548E4" w:rsidRDefault="00911023">
      <w:pPr>
        <w:pStyle w:val="Spisok"/>
        <w:numPr>
          <w:ilvl w:val="0"/>
          <w:numId w:val="2"/>
        </w:numPr>
      </w:pPr>
      <w:r>
        <w:t>уровень освоения обучающимся материала, предусмотренного образовательными программами;</w:t>
      </w:r>
    </w:p>
    <w:p w:rsidR="00B548E4" w:rsidRDefault="00911023">
      <w:pPr>
        <w:pStyle w:val="Spisok"/>
        <w:numPr>
          <w:ilvl w:val="0"/>
          <w:numId w:val="2"/>
        </w:numPr>
      </w:pPr>
      <w:r>
        <w:t>умение обучающегося использовать теоретические знания при выполнении практических задач;</w:t>
      </w:r>
    </w:p>
    <w:p w:rsidR="00B548E4" w:rsidRDefault="00911023">
      <w:pPr>
        <w:pStyle w:val="Spisok"/>
        <w:numPr>
          <w:ilvl w:val="0"/>
          <w:numId w:val="2"/>
        </w:numPr>
      </w:pPr>
      <w:r>
        <w:t>обоснованность, четкость изложения о</w:t>
      </w:r>
      <w:r>
        <w:t>твета;</w:t>
      </w:r>
    </w:p>
    <w:p w:rsidR="00B548E4" w:rsidRDefault="00911023">
      <w:pPr>
        <w:pStyle w:val="Spisok"/>
        <w:numPr>
          <w:ilvl w:val="0"/>
          <w:numId w:val="2"/>
        </w:numPr>
      </w:pPr>
      <w:r>
        <w:t>уровень освоения и совершенствования компетенций в соответствии с требованиями образовательной программы.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5.9. По результатам зачета выставляются оценки по двухбалльной системе: «зачтено» (соответствует «удовлетворительно») и «не зачтено» (соответст</w:t>
      </w:r>
      <w:r>
        <w:rPr>
          <w:rFonts w:ascii="Times New Roman" w:hAnsi="Times New Roman" w:cs="Times New Roman"/>
          <w:sz w:val="28"/>
          <w:szCs w:val="28"/>
        </w:rPr>
        <w:t>вует «неудовлетворительно»), а по результатам экзамена и защиты реферата – по четырехбалльной системе: «отлично», «хорошо», «удовлетворительно», «неудовлетворительно».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5.10. Оценка уровня сформированных компетенций у обучающегося осуществляется по следующи</w:t>
      </w:r>
      <w:r>
        <w:rPr>
          <w:rFonts w:ascii="Times New Roman" w:hAnsi="Times New Roman" w:cs="Times New Roman"/>
          <w:sz w:val="28"/>
          <w:szCs w:val="28"/>
        </w:rPr>
        <w:t>м критериям:</w:t>
      </w:r>
    </w:p>
    <w:p w:rsidR="00B548E4" w:rsidRDefault="00911023">
      <w:pPr>
        <w:pStyle w:val="Spisok"/>
        <w:numPr>
          <w:ilvl w:val="0"/>
          <w:numId w:val="2"/>
        </w:numPr>
      </w:pPr>
      <w:r>
        <w:t>оценку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</w:t>
      </w:r>
      <w:r>
        <w:t>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обучения;</w:t>
      </w:r>
    </w:p>
    <w:p w:rsidR="00B548E4" w:rsidRDefault="00911023">
      <w:pPr>
        <w:pStyle w:val="Spisok"/>
        <w:numPr>
          <w:ilvl w:val="0"/>
          <w:numId w:val="2"/>
        </w:numPr>
      </w:pPr>
      <w:r>
        <w:t xml:space="preserve">оценку «хорошо» заслуживает обучающийся, показавший освоение планируемых результатов (знаний, умений, </w:t>
      </w:r>
      <w:r>
        <w:t>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B548E4" w:rsidRDefault="00911023">
      <w:pPr>
        <w:pStyle w:val="Spisok"/>
        <w:numPr>
          <w:ilvl w:val="0"/>
          <w:numId w:val="2"/>
        </w:numPr>
      </w:pPr>
      <w:r>
        <w:t>оценку «удовлетворительно» заслуживает обуч</w:t>
      </w:r>
      <w:r>
        <w:t>ающийся, показавший частичное освоение 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деятельности, знакомы</w:t>
      </w:r>
      <w:r>
        <w:t>й с литературой, публикациями по программе.</w:t>
      </w:r>
    </w:p>
    <w:p w:rsidR="00B548E4" w:rsidRDefault="00911023">
      <w:pPr>
        <w:pStyle w:val="Spisok"/>
        <w:numPr>
          <w:ilvl w:val="0"/>
          <w:numId w:val="2"/>
        </w:numPr>
      </w:pPr>
      <w:r>
        <w:t>оценка «неудовлетворительно»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</w:t>
      </w:r>
      <w:r>
        <w:t>мотренных программой заданий;</w:t>
      </w:r>
    </w:p>
    <w:p w:rsidR="00B548E4" w:rsidRDefault="00911023">
      <w:pPr>
        <w:pStyle w:val="Spisok"/>
        <w:numPr>
          <w:ilvl w:val="0"/>
          <w:numId w:val="2"/>
        </w:numPr>
      </w:pPr>
      <w:r>
        <w:t xml:space="preserve">отметку «зачтено» заслуживает обучающийся, который имеет целостные, системные знания, умеет выделять главное и второстепенное, дает четкие определения понятий, последовательно и уверенно излагает материал, может применять </w:t>
      </w:r>
      <w:r>
        <w:t>знания для решения профессиональных задач;</w:t>
      </w:r>
    </w:p>
    <w:p w:rsidR="00B548E4" w:rsidRDefault="00911023">
      <w:pPr>
        <w:pStyle w:val="Spisok"/>
        <w:numPr>
          <w:ilvl w:val="0"/>
          <w:numId w:val="2"/>
        </w:numPr>
      </w:pPr>
      <w:r>
        <w:t>отметку «не зачтено» заслуживает обучающийся, который имеет разрозненные, бессистемные знания, не умеет выделять главное и второстепенное, допускает неточности в определении понятий, искажает их смысл, беспорядочн</w:t>
      </w:r>
      <w:r>
        <w:t>о и неуверенно излагает материал, не может применять знания для решения профессиональных задач.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Обучающемуся, не сдавшему зачет, выставляется оценка «не зачтено», а не сдавшему экзамен - «неудовлетворительно».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5.11. Неудовлетворительные результаты промежут</w:t>
      </w:r>
      <w:r>
        <w:rPr>
          <w:rFonts w:ascii="Times New Roman" w:hAnsi="Times New Roman" w:cs="Times New Roman"/>
          <w:sz w:val="28"/>
          <w:szCs w:val="28"/>
        </w:rPr>
        <w:t>очной аттестации по одному или нескольким дисциплинам (курсам, предметам, модулям) или не прохождение промежуточной аттестации при отсутствии уважительной причины признаются академической задолженностью.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5.12. Обучающиеся обязаны ликвидировать академическу</w:t>
      </w:r>
      <w:r>
        <w:rPr>
          <w:rFonts w:ascii="Times New Roman" w:hAnsi="Times New Roman" w:cs="Times New Roman"/>
          <w:sz w:val="28"/>
          <w:szCs w:val="28"/>
        </w:rPr>
        <w:t>ю задолженность.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5.13.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</w:t>
      </w:r>
      <w:r>
        <w:rPr>
          <w:rFonts w:ascii="Times New Roman" w:hAnsi="Times New Roman" w:cs="Times New Roman"/>
          <w:sz w:val="28"/>
          <w:szCs w:val="28"/>
        </w:rPr>
        <w:t>х одного года с момента образования академической.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5.14. Обучающиеся, не ликвидировавшие в установленные сроки академич</w:t>
      </w:r>
      <w:r>
        <w:rPr>
          <w:rFonts w:ascii="Times New Roman" w:hAnsi="Times New Roman" w:cs="Times New Roman"/>
          <w:sz w:val="28"/>
          <w:szCs w:val="28"/>
        </w:rPr>
        <w:t xml:space="preserve">еской задолженности, отчисляются из образовательной организации как не выполнившие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по добросовестному освоению образовательной программы и выполнению учебного плана.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5.15. Оценки, полученные на зачете/экзамене/защите реферата, заносятся препод</w:t>
      </w:r>
      <w:r>
        <w:rPr>
          <w:rFonts w:ascii="Times New Roman" w:hAnsi="Times New Roman" w:cs="Times New Roman"/>
          <w:sz w:val="28"/>
          <w:szCs w:val="28"/>
        </w:rPr>
        <w:t>авателем в соответствующую ведомость (зачетную/экзаменационную ведомость в электронной форме).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5.16. Экзаменационная оценка является итоговой и окончательной. Итоговые и окончательные оценки промежуточной аттестации в установленном порядке заносятся в доку</w:t>
      </w:r>
      <w:r>
        <w:rPr>
          <w:rFonts w:ascii="Times New Roman" w:hAnsi="Times New Roman" w:cs="Times New Roman"/>
          <w:sz w:val="28"/>
          <w:szCs w:val="28"/>
        </w:rPr>
        <w:t>мент об образовании установленного образца. Оценка, полученная в ходе сдачи зачета, также является итоговой и окончательной.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5.17. В случае неявки слушателя на зачет/экзамен/защиту реферата преподаватель в зачетной ведомости делает отметку «не явился».</w:t>
      </w:r>
    </w:p>
    <w:p w:rsidR="00B548E4" w:rsidRDefault="00B548E4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8E4" w:rsidRDefault="0091102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АПЕЛЛЯЦИИ (АПЕЛЛЯЦИОННАЯ КОМИССИЯ)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6.1. Обучающемуся предоставляется возможность подать письменное заявление по процедуре проведения экзаменов и/или о несогласии с полученными оценками.  Апелляция о нарушении порядка проведения экзамена подается лично обу</w:t>
      </w:r>
      <w:r>
        <w:rPr>
          <w:rFonts w:ascii="Times New Roman" w:hAnsi="Times New Roman" w:cs="Times New Roman"/>
          <w:sz w:val="28"/>
          <w:szCs w:val="28"/>
        </w:rPr>
        <w:t>чающимся непосредственно в день проведения экзамена. Апелляция о несогласии с результатами экзамена подается не позднее следующего рабочего дня после объявления результатов экзамена.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Апелляция рассматривается апелляционной комиссией, утвержденной прик</w:t>
      </w:r>
      <w:r>
        <w:rPr>
          <w:rFonts w:ascii="Times New Roman" w:hAnsi="Times New Roman" w:cs="Times New Roman"/>
          <w:sz w:val="28"/>
          <w:szCs w:val="28"/>
        </w:rPr>
        <w:t>азом директора образовательной организации в течение трех рабочих дней с момента ее поступления.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6.3. Апелляционная комиссия утверждается приказом директора образовательной организации в составе трех человек из числа преподавателей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ции или преподавателей, приглашенных из других образовательных организаций.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 Проверка изложенных в апелляции фактов не может проводиться лицами, принимавшими участие в проведении экзамена по соответствующей дисциплине (курсу, предмету, модулю) и оценке</w:t>
      </w:r>
      <w:r>
        <w:rPr>
          <w:rFonts w:ascii="Times New Roman" w:hAnsi="Times New Roman" w:cs="Times New Roman"/>
          <w:sz w:val="28"/>
          <w:szCs w:val="28"/>
        </w:rPr>
        <w:t xml:space="preserve"> его результатов. Рассмотрение апелляции не является пересдачей экзамена.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6.5. При рассмотрении апелляции о нарушении порядка проведения экзамена комиссия выносит одно из решений: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об отклонении апелляции, если изложенные в ней сведения не подтвердились </w:t>
      </w:r>
      <w:r>
        <w:rPr>
          <w:rFonts w:ascii="Times New Roman" w:hAnsi="Times New Roman" w:cs="Times New Roman"/>
          <w:sz w:val="28"/>
          <w:szCs w:val="28"/>
        </w:rPr>
        <w:t>и/или не повлияли на результат экзамена;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об удовлетворении апелляции, если изложенные в ней сведения о допущенных нарушениях порядка проведения экзамена подтвердились и повлияли на результат экзамена.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6.6. В случае, указанном в п.п. «б» п. 4.5 Настоящег</w:t>
      </w:r>
      <w:r>
        <w:rPr>
          <w:rFonts w:ascii="Times New Roman" w:hAnsi="Times New Roman" w:cs="Times New Roman"/>
          <w:sz w:val="28"/>
          <w:szCs w:val="28"/>
        </w:rPr>
        <w:t>о Положения, результат проведения экзамена подлежит аннулированию. Обучающемуся предоставляется возможность сдать экзамен в дополнительные сроки, установленные директором Образовательной организации. Решение апелляционной комиссии доводится до сведения слу</w:t>
      </w:r>
      <w:r>
        <w:rPr>
          <w:rFonts w:ascii="Times New Roman" w:hAnsi="Times New Roman" w:cs="Times New Roman"/>
          <w:sz w:val="28"/>
          <w:szCs w:val="28"/>
        </w:rPr>
        <w:t>шателя (под роспись) в течение двух рабочих дней со дня заседания апелляционной комиссии.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6.7. Решение апелляционной комиссии является окончательным и пересмотру не подлежит.</w:t>
      </w:r>
    </w:p>
    <w:p w:rsidR="00B548E4" w:rsidRDefault="0091102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6.8. Решение апелляционной комиссии оформляется протоколом, который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и секретарем апелляционной комиссии.</w:t>
      </w:r>
    </w:p>
    <w:p w:rsidR="00B548E4" w:rsidRDefault="00B548E4">
      <w:pPr>
        <w:pStyle w:val="Standard"/>
      </w:pPr>
    </w:p>
    <w:sectPr w:rsidR="00B548E4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23" w:rsidRDefault="00911023">
      <w:r>
        <w:separator/>
      </w:r>
    </w:p>
  </w:endnote>
  <w:endnote w:type="continuationSeparator" w:id="0">
    <w:p w:rsidR="00911023" w:rsidRDefault="0091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23" w:rsidRDefault="00911023">
      <w:r>
        <w:rPr>
          <w:color w:val="000000"/>
        </w:rPr>
        <w:separator/>
      </w:r>
    </w:p>
  </w:footnote>
  <w:footnote w:type="continuationSeparator" w:id="0">
    <w:p w:rsidR="00911023" w:rsidRDefault="0091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86"/>
    <w:multiLevelType w:val="multilevel"/>
    <w:tmpl w:val="D8D864C4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7483968"/>
    <w:multiLevelType w:val="multilevel"/>
    <w:tmpl w:val="22A8CD1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2EE1BCB"/>
    <w:multiLevelType w:val="multilevel"/>
    <w:tmpl w:val="08F86AE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8E4"/>
    <w:rsid w:val="008B4FCF"/>
    <w:rsid w:val="00911023"/>
    <w:rsid w:val="00B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2022-05-23T10:09:00Z</dcterms:created>
  <dcterms:modified xsi:type="dcterms:W3CDTF">2022-11-16T10:19:00Z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